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14705</w:t>
        <w:t xml:space="preserve">.  </w:t>
      </w:r>
      <w:r>
        <w:rPr>
          <w:b/>
        </w:rPr>
        <w:t xml:space="preserve">Local registration</w:t>
      </w:r>
    </w:p>
    <w:p>
      <w:pPr>
        <w:jc w:val="both"/>
        <w:spacing w:before="100" w:after="100"/>
        <w:ind w:start="360"/>
        <w:ind w:firstLine="360"/>
      </w:pPr>
      <w:r>
        <w:rPr/>
      </w:r>
      <w:r>
        <w:rPr/>
      </w:r>
      <w:r>
        <w:t xml:space="preserve">Nothing in this subchapter affects the right of any town or municipality to make such regulations relative to transient sellers of consumer merchandise as may be permissible under the general law or under any municipal charter.</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§14705. Local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§14705. Local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§14705. LOCAL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