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14707</w:t>
        <w:t xml:space="preserve">.  </w:t>
      </w:r>
      <w:r>
        <w:rPr>
          <w:b/>
        </w:rPr>
        <w:t xml:space="preserve">Renewal application</w:t>
      </w:r>
    </w:p>
    <w:p>
      <w:pPr>
        <w:jc w:val="both"/>
        <w:spacing w:before="100" w:after="100"/>
        <w:ind w:start="360"/>
        <w:ind w:firstLine="360"/>
      </w:pPr>
      <w:r>
        <w:rPr/>
      </w:r>
      <w:r>
        <w:rPr/>
      </w:r>
      <w:r>
        <w:t xml:space="preserve">A renewal application made under this subchapter must be filed by the applicant on April 30th annually or at such other times as the Commissioner of Professional and Financial Regulation may designate.  The renewal application must include all changes or additions in the information required by </w:t>
      </w:r>
      <w:r>
        <w:t>section 14706</w:t>
      </w:r>
      <w:r>
        <w:t xml:space="preserve">.   The renewal application must be accompanied by the renewal fee as set under </w:t>
      </w:r>
      <w:r>
        <w:t>section 14708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KK,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 PL 2007, c. 402, Pt. KK,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§14707. Renewal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§14707. Renewal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§14707. RENEWAL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