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18143</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one purpose may not exceed $350 biennially.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§18143.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§18143.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