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18325</w:t>
        <w:t xml:space="preserve">.  </w:t>
      </w:r>
      <w:r>
        <w:rPr>
          <w:b/>
        </w:rPr>
        <w:t xml:space="preserve">Disciplinary action; judicial review</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powers under </w:t>
      </w:r>
      <w:r>
        <w:t>Title 10, section 8003, subsection 5‑A</w:t>
      </w:r>
      <w:r>
        <w:t xml:space="preserve">, the board may suspend, revoke or refuse to issue or renew a license pursuant to </w:t>
      </w:r>
      <w:r>
        <w:t>Title 5, section 10004</w:t>
      </w:r>
      <w:r>
        <w:t xml:space="preserve">. The following are grounds for an action to refuse to issue, modify, suspend, revoke or refuse to renew the license of a person licensed under this chapter:</w:t>
      </w:r>
    </w:p>
    <w:p>
      <w:pPr>
        <w:jc w:val="both"/>
        <w:spacing w:before="100" w:after="0"/>
        <w:ind w:start="720"/>
      </w:pPr>
      <w:r>
        <w:rPr/>
        <w:t>A</w:t>
        <w:t xml:space="preserve">.  </w:t>
      </w:r>
      <w:r>
        <w:rPr/>
      </w:r>
      <w:r>
        <w:t xml:space="preserve">The practice of fraud, deceit or misrepresentation in obtaining a license or authority from the board or in connection with services within the scope of the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Incompetence in the practice for which the licensee is licensed or authorized by the board.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perform the duties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 or authorized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authorized by the board,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Aiding or abetting unlicensed practice by a person who is not licensed or authorized as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Failure to provide supervision as required under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Engaging in any activity requiring a license or authority under this chapter or rule adopted by the board that is beyond the scope of acts authorized by the license or authority held;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Continuing to act in a capacity requiring a license or authority under this chapter or a rule adopted by the board after expiration, suspension or revocation of that license or authority;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Noncompliance with an order of or consent agreement executed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Failure to produce any requested documents in the licensee's possession or under the licensee's control relevant to a pending complaint, proceeding or matter under investigation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 Pt. P, §19 (RP).]</w:t>
      </w:r>
    </w:p>
    <w:p>
      <w:pPr>
        <w:jc w:val="both"/>
        <w:spacing w:before="100" w:after="0"/>
        <w:ind w:start="720"/>
      </w:pPr>
      <w:r>
        <w:rPr/>
        <w:t>O</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134, §1 (AMD).]</w:t>
      </w:r>
    </w:p>
    <w:p>
      <w:pPr>
        <w:jc w:val="both"/>
        <w:spacing w:before="100" w:after="0"/>
        <w:ind w:start="720"/>
      </w:pPr>
      <w:r>
        <w:rPr/>
        <w:t>P</w:t>
        <w:t xml:space="preserve">.  </w:t>
      </w:r>
      <w:r>
        <w:rPr/>
      </w:r>
      <w:r>
        <w:t xml:space="preserve">Failure to comply with the requirements of </w:t>
      </w:r>
      <w:r>
        <w:t>Title 22, section 7253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134, §2 (AMD).]</w:t>
      </w:r>
    </w:p>
    <w:p>
      <w:pPr>
        <w:jc w:val="both"/>
        <w:spacing w:before="100" w:after="0"/>
        <w:ind w:start="720"/>
      </w:pPr>
      <w:r>
        <w:rPr/>
        <w:t>Q</w:t>
        <w:t xml:space="preserve">.  </w:t>
      </w:r>
      <w:r>
        <w:rPr/>
      </w:r>
      <w:r>
        <w:t xml:space="preserve">Administering botulinum toxins or dermal fillers to a patient when that administration is not supported by a diagnosed dental condition or is not part of a patient's dental treatment plan.  This paragraph does not apply to a dentist who has successfully completed postgraduate training and certification in oral and maxillofacial surgery from a program accredited by the American Dental Association Commission on Dental Accreditation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134,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§19 (AMD).]</w:t>
      </w:r>
    </w:p>
    <w:p>
      <w:pPr>
        <w:jc w:val="both"/>
        <w:spacing w:before="100" w:after="0"/>
        <w:ind w:start="360"/>
        <w:ind w:firstLine="360"/>
      </w:pPr>
      <w:r>
        <w:rPr>
          <w:b/>
        </w:rPr>
        <w:t>1-A</w:t>
        <w:t xml:space="preserve">.  </w:t>
      </w:r>
      <w:r>
        <w:rPr>
          <w:b/>
        </w:rPr>
        <w:t xml:space="preserve">Authority to file in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§20 (RP).]</w:t>
      </w:r>
    </w:p>
    <w:p>
      <w:pPr>
        <w:jc w:val="both"/>
        <w:spacing w:before="100" w:after="0"/>
        <w:ind w:start="360"/>
        <w:ind w:firstLine="360"/>
      </w:pPr>
      <w:r>
        <w:rPr>
          <w:b/>
        </w:rPr>
        <w:t>2</w:t>
        <w:t xml:space="preserve">.  </w:t>
      </w:r>
      <w:r>
        <w:rPr>
          <w:b/>
        </w:rPr>
        <w:t xml:space="preserve">Judicial review.</w:t>
        <w:t xml:space="preserve"> </w:t>
      </w:r>
      <w:r>
        <w:t xml:space="preserve"> </w:t>
      </w:r>
      <w:r>
        <w:t xml:space="preserve">Notwithstanding any provision of </w:t>
      </w:r>
      <w:r>
        <w:t>Title 10, section 8003, subsection 5‑A</w:t>
      </w:r>
      <w:r>
        <w:t xml:space="preserve"> to the contrary, any nonconsensual revocation pursuant to </w:t>
      </w:r>
      <w:r>
        <w:t>Title 10, section 8003, subsection 5‑A</w:t>
      </w:r>
      <w:r>
        <w:t xml:space="preserve"> of a license or authority issued by the board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§21 (AMD).]</w:t>
      </w:r>
    </w:p>
    <w:p>
      <w:pPr>
        <w:jc w:val="both"/>
        <w:spacing w:before="100" w:after="0"/>
        <w:ind w:start="360"/>
        <w:ind w:firstLine="360"/>
      </w:pPr>
      <w:r>
        <w:rPr>
          <w:b/>
        </w:rPr>
        <w:t>3</w:t>
        <w:t xml:space="preserve">.  </w:t>
      </w:r>
      <w:r>
        <w:rPr>
          <w:b/>
        </w:rPr>
        <w:t xml:space="preserve">Letters of guidance.</w:t>
        <w:t xml:space="preserve"> </w:t>
      </w:r>
      <w:r>
        <w:t xml:space="preserve"> </w:t>
      </w:r>
      <w:r>
        <w:t xml:space="preserve">In addition to the authority conferred under </w:t>
      </w:r>
      <w:r>
        <w:t>Title 10, section 8003, subsection 5‑A</w:t>
      </w:r>
      <w:r>
        <w:t xml:space="preserve">, the board may issue a letter of guidance or concern to a licensee or registrant.  A letter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provision of law to the contrary, a letter of guidance or concern is not confidential.  The board may place a letter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only confidential to the extent that confidentiality is required pursuant to Title 24, chapter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2015, c. 488, §§33, 34 (AMD). PL 2017, c. 210, Pt. J, §1 (AMD). PL 2021, c. 134, §§1-3 (AMD). PL 2023, c. 17, Pt. P, §§19-21 (AMD). PL 2023,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§18325. Disciplinary action;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§18325. DISCIPLINARY ACTION;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