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402, Pt. F,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State Board for Licensure of Architects, Landscape Architects and Interior Designers.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 (NEW).]</w:t>
      </w:r>
    </w:p>
    <w:p>
      <w:pPr>
        <w:jc w:val="both"/>
        <w:spacing w:before="100" w:after="0"/>
        <w:ind w:start="360"/>
        <w:ind w:firstLine="360"/>
      </w:pPr>
      <w:r>
        <w:rPr>
          <w:b/>
        </w:rPr>
        <w:t>3</w:t>
        <w:t xml:space="preserve">.  </w:t>
      </w:r>
      <w:r>
        <w:rPr>
          <w:b/>
        </w:rPr>
        <w:t xml:space="preserve">Office.</w:t>
        <w:t xml:space="preserve"> </w:t>
      </w:r>
      <w:r>
        <w:t xml:space="preserve"> </w:t>
      </w:r>
      <w:r>
        <w:t xml:space="preserve">"Office" means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§1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