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2296</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Adoption.</w:t>
        <w:t xml:space="preserve"> </w:t>
      </w:r>
      <w:r>
        <w:t xml:space="preserve"> </w:t>
      </w:r>
      <w:r>
        <w:t xml:space="preserve">The commission shall promulgate reasonable rules in order to effectively and efficiently achieve the purposes of the compact.  If the commission exercises its rule-making authority in a manner that is beyond the scope of the purposes of the compact, or the powers granted in the compact, such an action by the commission is invalid and has no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On the website of each member state occupational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under </w:t>
      </w:r>
      <w:r>
        <w:t>subsection 5</w:t>
      </w:r>
      <w:r>
        <w:t xml:space="preserve">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9</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13</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