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4251</w:t>
        <w:t xml:space="preserve">.  </w:t>
      </w:r>
      <w:r>
        <w:rPr>
          <w:b/>
        </w:rPr>
        <w:t xml:space="preserve">Rules and regulations</w:t>
      </w:r>
    </w:p>
    <w:p>
      <w:pPr>
        <w:jc w:val="both"/>
        <w:spacing w:before="100" w:after="100"/>
        <w:ind w:start="360"/>
        <w:ind w:firstLine="360"/>
      </w:pPr>
      <w:r>
        <w:rPr/>
      </w:r>
      <w:r>
        <w:rPr/>
      </w:r>
      <w:r>
        <w:t xml:space="preserve">The Department of Health and Human Services is authorized and empowered to make necessary rules and regulations governing the application of tattoos upon the bodies of human beings.</w:t>
      </w:r>
      <w:r>
        <w:t xml:space="preserve">  </w:t>
      </w:r>
      <w:r xmlns:wp="http://schemas.openxmlformats.org/drawingml/2010/wordprocessingDrawing" xmlns:w15="http://schemas.microsoft.com/office/word/2012/wordml">
        <w:rPr>
          <w:rFonts w:ascii="Arial" w:hAnsi="Arial" w:cs="Arial"/>
          <w:sz w:val="22"/>
          <w:szCs w:val="22"/>
        </w:rPr>
        <w:t xml:space="preserve">[PL 1975, c. 293, §4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§4251.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§4251.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§4251.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