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4700-K</w:t>
        <w:t xml:space="preserve">.  </w:t>
      </w:r>
      <w:r>
        <w:rPr>
          <w:b/>
        </w:rPr>
        <w:t xml:space="preserve">Compliance with other laws and rules</w:t>
      </w:r>
    </w:p>
    <w:p>
      <w:pPr>
        <w:jc w:val="both"/>
        <w:spacing w:before="100" w:after="100"/>
        <w:ind w:start="360"/>
        <w:ind w:firstLine="360"/>
      </w:pPr>
      <w:r>
        <w:rPr/>
      </w:r>
      <w:r>
        <w:rPr/>
      </w:r>
      <w:r>
        <w:t xml:space="preserve">Notwithstanding this chapter, all water wells and geothermal heat exchange wells must be constructed and maintained in accordance with all other laws and rules in effect, including for water wells the water well information laws, </w:t>
      </w:r>
      <w:r>
        <w:t>Title 12, section 550‑B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2009, c. 153,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§4700-K. Compliance with other laws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§4700-K. Compliance with other laws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§4700-K. COMPLIANCE WITH OTHER LAWS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