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4911</w:t>
        <w:t xml:space="preserve">.  </w:t>
      </w:r>
      <w:r>
        <w:rPr>
          <w:b/>
        </w:rPr>
        <w:t xml:space="preserve">Expiration and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and  become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4912</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300, §5 (RPR). PL 1983, c. 413, §182 (AMD). PL 1987, c. 395, §A178 (AMD). PL 1993, c. 404, §A15 (AMD). PL 1995, c. 502, §H48 (AMD). PL 1999, c. 685, §15 (AMD). PL 2007, c. 402, Pt. S,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§4911.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§4911.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§4911.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