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6083</w:t>
        <w:t xml:space="preserve">.  </w:t>
      </w:r>
      <w:r>
        <w:rPr>
          <w:b/>
        </w:rPr>
        <w:t xml:space="preserve">Relationship to federal law</w:t>
      </w:r>
    </w:p>
    <w:p>
      <w:pPr>
        <w:jc w:val="both"/>
        <w:spacing w:before="100" w:after="100"/>
        <w:ind w:start="360"/>
        <w:ind w:firstLine="360"/>
      </w:pPr>
      <w:r>
        <w:rPr/>
      </w:r>
      <w:r>
        <w:rPr/>
      </w:r>
      <w:r>
        <w:t xml:space="preserve">State money transmission jurisdiction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Governance.</w:t>
        <w:t xml:space="preserve"> </w:t>
      </w:r>
      <w:r>
        <w:t xml:space="preserve"> </w:t>
      </w:r>
      <w:r>
        <w:t xml:space="preserve">If state money transmission jurisdiction is conditioned on a federal law, any inconsistency between a provision of this Act and the federal law governing money transmission is governed by the applicable federal law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Guidance.</w:t>
        <w:t xml:space="preserve"> </w:t>
      </w:r>
      <w:r>
        <w:t xml:space="preserve"> </w:t>
      </w:r>
      <w:r>
        <w:t xml:space="preserve">If there is an inconsistency between this Act and a federal law that governs pursuant to subsection 1, the administrator may provide interpretive guidance that identifies the inconsistency and identifies the appropriate means of compliance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§6083. Relationship to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§6083. Relationship to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§6083. RELATIONSHIP TO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