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6100-JJ</w:t>
        <w:t xml:space="preserve">.  </w:t>
      </w:r>
      <w:r>
        <w:rPr>
          <w:b/>
        </w:rPr>
        <w:t xml:space="preserve">Treatment of fees</w:t>
      </w:r>
    </w:p>
    <w:p>
      <w:pPr>
        <w:jc w:val="both"/>
        <w:spacing w:before="100" w:after="100"/>
        <w:ind w:start="360"/>
        <w:ind w:firstLine="360"/>
      </w:pPr>
      <w:r>
        <w:rPr/>
      </w:r>
      <w:r>
        <w:rPr/>
      </w:r>
      <w:r>
        <w:t xml:space="preserve">The administrator may set the fees under this Act by rule up to a maximum of $2,500 for an initial license, $1,000 for a license renewal and $1,000 for the designation of an authorized delegate.  </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r>
      <w:r>
        <w:rPr/>
      </w:r>
      <w:r>
        <w:t xml:space="preserve">The aggregate of fees, examination expense reimbursements and other payments made under this Act is appropriated for the use of the administrator.  Any balances of funds do not lapse but must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§6100-JJ. Treatment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§6100-JJ. Treatment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§6100-JJ. TREATMENT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