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6196</w:t>
        <w:t xml:space="preserve">.  </w:t>
      </w:r>
      <w:r>
        <w:rPr>
          <w:b/>
        </w:rPr>
        <w:t xml:space="preserve">Waiver</w:t>
      </w:r>
    </w:p>
    <w:p>
      <w:pPr>
        <w:jc w:val="both"/>
        <w:spacing w:before="100" w:after="100"/>
        <w:ind w:start="360"/>
        <w:ind w:firstLine="360"/>
      </w:pPr>
      <w:r>
        <w:rPr/>
      </w:r>
      <w:r>
        <w:rPr/>
      </w:r>
      <w:r>
        <w:t xml:space="preserve">Any waiver of the provisions of this chapter is void and unenforceable as contrary to public policy, except that a foreclosed homeowner may waive the 5-day right to cancel provided in </w:t>
      </w:r>
      <w:r>
        <w:t>section 6195</w:t>
      </w:r>
      <w:r>
        <w:t xml:space="preserve"> if the property is subject to a foreclosure sale within the 5 business days and the foreclosed homeowner agrees to waive the right to cancel in a handwritten statement signed by all parties holding title to the foreclosed property.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§6196.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§6196.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§6196.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