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7093</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the purposes and provisions of the compact.  A rule promulgated by the commission is invalid and has no force or effect only if a court of competent jurisdiction holds that the rule is invalid because the commission exercised its rule-making authority in a manner that is beyond the scope and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Conflict; laws in member states.</w:t>
        <w:t xml:space="preserve"> </w:t>
      </w:r>
      <w:r>
        <w:t xml:space="preserve"> </w:t>
      </w:r>
      <w:r>
        <w:t xml:space="preserve">The rules of the commission have the force of law in each member state, except that where the rules of the commission conflict with the laws of a member state that establish the member state's laws, regulations and applicable standards that govern the practice of social work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on the day following adoption or on the date specified in each rule or amendment,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Public hearing.</w:t>
        <w:t xml:space="preserve"> </w:t>
      </w:r>
      <w:r>
        <w:t xml:space="preserve"> </w:t>
      </w:r>
      <w:r>
        <w:t xml:space="preserve">Prior to adoption of a proposed rule, the commission shall hold a public hearing and allow persons to provide oral and written comments, data, facts, opinions and arguments.</w:t>
      </w:r>
    </w:p>
    <w:p>
      <w:pPr>
        <w:jc w:val="both"/>
        <w:spacing w:before="100" w:after="0"/>
        <w:ind w:start="720"/>
      </w:pPr>
      <w:r>
        <w:rPr/>
        <w:t>A</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This section may not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7</w:t>
        <w:t xml:space="preserve">.  </w:t>
      </w:r>
      <w:r>
        <w:rPr>
          <w:b/>
        </w:rPr>
        <w:t xml:space="preserve">Notice of hearing.</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at which the commission will hear public comments on the proposed rule and, if different, the time, date and location of the meeting at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If the hearing is held via telecommunication, videoconference or other electronic means, the commission shall publish the mechanism for access to the electronic hearing;</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9</w:t>
        <w:t xml:space="preserve">.  </w:t>
      </w:r>
      <w:r>
        <w:rPr>
          <w:b/>
        </w:rPr>
        <w:t xml:space="preserve">Final action.</w:t>
        <w:t xml:space="preserve"> </w:t>
      </w:r>
      <w:r>
        <w:t xml:space="preserve"> </w:t>
      </w:r>
      <w:r>
        <w:t xml:space="preserve">The commission shall, by majority vote of all members, take final action on the proposed rule based on the rule-making record and the full text of the rule.</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provide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shall determine a reasonable effective date for the rule. Except for an emergency as provided in subsection 10, the effective date of the rule may not be earlier than 30 days after issuing the notice that it adopted or amended the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10</w:t>
        <w:t xml:space="preserve">.  </w:t>
      </w:r>
      <w:r>
        <w:rPr>
          <w:b/>
        </w:rPr>
        <w:t xml:space="preserve">Emergency rulemaking.</w:t>
        <w:t xml:space="preserve"> </w:t>
      </w:r>
      <w:r>
        <w:t xml:space="preserve"> </w:t>
      </w:r>
      <w:r>
        <w:t xml:space="preserve">Upon determination that an emergency exists, the commission may consider and adopt an emergency rule with 48 hours' notice, with opportunity to comment,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12</w:t>
        <w:t xml:space="preserve">.  </w:t>
      </w:r>
      <w:r>
        <w:rPr>
          <w:b/>
        </w:rPr>
        <w:t xml:space="preserve">Application of member state rules.</w:t>
        <w:t xml:space="preserve"> </w:t>
      </w:r>
      <w:r>
        <w:t xml:space="preserve"> </w:t>
      </w:r>
      <w:r>
        <w:t xml:space="preserve">A member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