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8113-A</w:t>
        <w:t xml:space="preserve">.  </w:t>
      </w:r>
      <w:r>
        <w:rPr>
          <w:b/>
        </w:rPr>
        <w:t xml:space="preserve">Suspension for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chief has probable cause to believe that a person licensed pursuant to this chapter is required to submit to chemical testing for the presence of intoxicating liquor or drugs pursuant to </w:t>
      </w:r>
      <w:r>
        <w:t>Title 17‑A, section 1057</w:t>
      </w:r>
      <w:r>
        <w:t xml:space="preserve"> or for conduct that occurs while the licensee is in possession of a loaded firearm and the licensee refuses to submit to the required testing, the chief shall immediately suspend the licensee's right to carry a concealed handgun.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§16 (AMD).]</w:t>
      </w:r>
    </w:p>
    <w:p>
      <w:pPr>
        <w:jc w:val="both"/>
        <w:spacing w:before="100" w:after="0"/>
        <w:ind w:start="360"/>
        <w:ind w:firstLine="360"/>
      </w:pPr>
      <w:r>
        <w:rPr>
          <w:b/>
        </w:rPr>
        <w:t>2</w:t>
        <w:t xml:space="preserve">.  </w:t>
      </w:r>
      <w:r>
        <w:rPr>
          <w:b/>
        </w:rPr>
        <w:t xml:space="preserve">Report to chief.</w:t>
        <w:t xml:space="preserve"> </w:t>
      </w:r>
      <w:r>
        <w:t xml:space="preserve"> </w:t>
      </w:r>
      <w:r>
        <w:t xml:space="preserve">A law enforcement officer who has probable cause to require chemical testing of a licensee shall promptly notify the chief of a licensee's refusal and provide the chief with a report of the facts and circumstances of the requirement to submit to chemical testing and of the licensee's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A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2483</w:t>
      </w:r>
      <w:r>
        <w:t xml:space="preserve">, that the law enforcement officer did not have probable cause to require the licensee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§17 (NEW). PL 1995, c. 65, §A132 (AMD). PL 1995, c. 65, §§A153,C15 (AFF). PL 2011, c. 366, §45 (AMD). PL 2013, c. 424,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§8113-A. Suspension for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§8113-A. Suspension for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§8113-A. SUSPENSION FOR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