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1999, c. 657, §16 (AMD). PL 2003, c. 339, §1 (AMD). PL 2003, c. 673, §U1 (AMD). PL 2005, c. 357, §§1-3 (AMD). PL 2015, c. 215, §1 (AMD). PL 2019, c. 496, §§1-3 (AMD). PL 2019, c. 498, §21 (RP). PL 2023, c. 405, Pt. A, §117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