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1214-A</w:t>
        <w:t xml:space="preserve">.  </w:t>
      </w:r>
      <w:r>
        <w:rPr>
          <w:b/>
        </w:rPr>
        <w:t xml:space="preserve">Elder Victims Restitution Fund</w:t>
      </w:r>
    </w:p>
    <w:p>
      <w:pPr>
        <w:jc w:val="both"/>
        <w:spacing w:before="100" w:after="100"/>
        <w:ind w:start="360"/>
        <w:ind w:firstLine="360"/>
      </w:pPr>
      <w:r>
        <w:rPr/>
      </w:r>
      <w:r>
        <w:rPr/>
      </w:r>
      <w:r>
        <w:t xml:space="preserve">The Elder Victims Restitution Fund, referred to in this section as "the fund," is established for the purpose of compensating elder victims of financial crimes.</w:t>
      </w:r>
      <w:r>
        <w:t xml:space="preserve">  </w:t>
      </w:r>
      <w:r xmlns:wp="http://schemas.openxmlformats.org/drawingml/2010/wordprocessingDrawing" xmlns:w15="http://schemas.microsoft.com/office/word/2012/wordml">
        <w:rPr>
          <w:rFonts w:ascii="Arial" w:hAnsi="Arial" w:cs="Arial"/>
          <w:sz w:val="22"/>
          <w:szCs w:val="22"/>
        </w:rPr>
        <w:t xml:space="preserve">[PL 2011, c. 241, §3 (NEW).]</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unless the context otherwise indicates, the term "elder victim" means a victim of a crime who is 65 years of age or 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241, §3 (NEW).]</w:t>
      </w:r>
    </w:p>
    <w:p>
      <w:pPr>
        <w:jc w:val="both"/>
        <w:spacing w:before="100" w:after="0"/>
        <w:ind w:start="360"/>
        <w:ind w:firstLine="360"/>
      </w:pPr>
      <w:r>
        <w:rPr>
          <w:b/>
        </w:rPr>
        <w:t>2</w:t>
        <w:t xml:space="preserve">.  </w:t>
      </w:r>
      <w:r>
        <w:rPr>
          <w:b/>
        </w:rPr>
        <w:t xml:space="preserve">Administration.</w:t>
        <w:t xml:space="preserve"> </w:t>
      </w:r>
      <w:r>
        <w:t xml:space="preserve"> </w:t>
      </w:r>
      <w:r>
        <w:t xml:space="preserve">The Victim Services Coordinator under </w:t>
      </w:r>
      <w:r>
        <w:t>section 1214</w:t>
      </w:r>
      <w:r>
        <w:t xml:space="preserve"> shall administer the fund. All administrative costs of the fund must be absorbed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241, §3 (NEW).]</w:t>
      </w:r>
    </w:p>
    <w:p>
      <w:pPr>
        <w:jc w:val="both"/>
        <w:spacing w:before="100" w:after="0"/>
        <w:ind w:start="360"/>
        <w:ind w:firstLine="360"/>
      </w:pPr>
      <w:r>
        <w:rPr>
          <w:b/>
        </w:rPr>
        <w:t>3</w:t>
        <w:t xml:space="preserve">.  </w:t>
      </w:r>
      <w:r>
        <w:rPr>
          <w:b/>
        </w:rPr>
        <w:t xml:space="preserve">Funding.</w:t>
        <w:t xml:space="preserve"> </w:t>
      </w:r>
      <w:r>
        <w:t xml:space="preserve"> </w:t>
      </w:r>
      <w:r>
        <w:t xml:space="preserve">Money collected pursuant to </w:t>
      </w:r>
      <w:r>
        <w:t>Title 18‑C, section 2‑105</w:t>
      </w:r>
      <w:r>
        <w:t xml:space="preserve"> must be deposited into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§92 (AMD); PL 2019, c. 417, Pt. B, §14 (AFF).]</w:t>
      </w:r>
    </w:p>
    <w:p>
      <w:pPr>
        <w:jc w:val="both"/>
        <w:spacing w:before="100" w:after="0"/>
        <w:ind w:start="360"/>
        <w:ind w:firstLine="360"/>
      </w:pPr>
      <w:r>
        <w:rPr>
          <w:b/>
        </w:rPr>
        <w:t>4</w:t>
        <w:t xml:space="preserve">.  </w:t>
      </w:r>
      <w:r>
        <w:rPr>
          <w:b/>
        </w:rPr>
        <w:t xml:space="preserve">Use.</w:t>
        <w:t xml:space="preserve"> </w:t>
      </w:r>
      <w:r>
        <w:t xml:space="preserve"> </w:t>
      </w:r>
      <w:r>
        <w:t xml:space="preserve">The fund may be used for the payment of claims of elder victims of financial crimes who are entitled to receive restitution from offenders as a result of the sentences for the crimes in cases in which those offenders are not meeting their restitution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241, §3 (NEW).]</w:t>
      </w:r>
    </w:p>
    <w:p>
      <w:pPr>
        <w:jc w:val="both"/>
        <w:spacing w:before="100" w:after="0"/>
        <w:ind w:start="360"/>
        <w:ind w:firstLine="360"/>
      </w:pPr>
      <w:r>
        <w:rPr>
          <w:b/>
        </w:rPr>
        <w:t>5</w:t>
        <w:t xml:space="preserve">.  </w:t>
      </w:r>
      <w:r>
        <w:rPr>
          <w:b/>
        </w:rPr>
        <w:t xml:space="preserve">Rules.</w:t>
        <w:t xml:space="preserve"> </w:t>
      </w:r>
      <w:r>
        <w:t xml:space="preserve"> </w:t>
      </w:r>
      <w:r>
        <w:t xml:space="preserve">The commissioner may adopt rules, which are routine technical rules pursuant to </w:t>
      </w:r>
      <w:r>
        <w:t>Title 5, chapter 375, subchapter 2‑A</w:t>
      </w:r>
      <w:r>
        <w:t xml:space="preserve">, to carry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241,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241, §3 (NEW). PL 2017, c. 402, Pt. C, §92 (AMD).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§1214-A. Elder Victims Restitution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§1214-A. Elder Victims Restitution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§1214-A. ELDER VICTIMS RESTITUTION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