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5002</w:t>
        <w:t xml:space="preserve">.  </w:t>
      </w:r>
      <w:r>
        <w:rPr>
          <w:b/>
        </w:rPr>
        <w:t xml:space="preserve">Pardons by the Governor</w:t>
      </w:r>
    </w:p>
    <w:p>
      <w:pPr>
        <w:jc w:val="both"/>
        <w:spacing w:before="100" w:after="100"/>
        <w:ind w:start="360"/>
        <w:ind w:firstLine="360"/>
      </w:pPr>
      <w:r>
        <w:rPr/>
      </w:r>
      <w:r>
        <w:rPr/>
      </w:r>
      <w:r>
        <w:t xml:space="preserve">This chapter does not deprive the Governor of the power to grant a pardon or commutation to any person sentenced to a correctional facility.</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§5002. Pardons by the Governor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§5002. Pardons by the Governor</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§5002. PARDONS BY THE GOVERNOR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