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9207</w:t>
        <w:t xml:space="preserve">.  </w:t>
      </w:r>
      <w:r>
        <w:rPr>
          <w:b/>
        </w:rPr>
        <w:t xml:space="preserve">Entry into force--Article VII</w:t>
      </w:r>
    </w:p>
    <w:p>
      <w:pPr>
        <w:jc w:val="both"/>
        <w:spacing w:before="100" w:after="100"/>
        <w:ind w:start="360"/>
        <w:ind w:firstLine="360"/>
      </w:pPr>
      <w:r>
        <w:rPr/>
      </w:r>
      <w:r>
        <w:rPr/>
      </w:r>
      <w:r>
        <w:t xml:space="preserve">This compact shall enter into force and become effective and binding upon the states so acting when it has been enacted into law by any 2 states from among the states of New England.  Thereafter, this compact shall enter into force and become effective and binding as to any other of said states upon similar action by such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§9207. Entry into force--Article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§9207. Entry into force--Article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§9207. ENTRY INTO FORCE--ARTICLE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