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INTELLECTUAL DISABILITIES AND AUTISM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jc w:val="center"/>
        <w:ind w:start="360"/>
        <w:spacing w:before="300" w:after="300"/>
      </w:pPr>
      <w:r>
        <w:rPr>
          <w:b/>
        </w:rPr>
        <w:t>SUBCHAPTER</w:t>
        <w:t xml:space="preserve"> </w:t>
        <w:t>2</w:t>
      </w:r>
    </w:p>
    <w:p>
      <w:pPr>
        <w:jc w:val="center"/>
        <w:ind w:start="360"/>
        <w:spacing w:before="300" w:after="300"/>
      </w:pPr>
      <w:r>
        <w:rPr>
          <w:b/>
        </w:rPr>
        <w:t xml:space="preserve">PERSONS WITH INTELLECTUAL DISABILITIES OR AUTISM; SERVICES</w:t>
      </w:r>
    </w:p>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jc w:val="center"/>
        <w:ind w:start="360"/>
        <w:spacing w:before="300" w:after="300"/>
      </w:pPr>
      <w:r>
        <w:rPr>
          <w:b/>
        </w:rPr>
        <w:t>SUBCHAPTER</w:t>
        <w:t xml:space="preserve"> </w:t>
        <w:t>3</w:t>
      </w:r>
    </w:p>
    <w:p>
      <w:pPr>
        <w:jc w:val="center"/>
        <w:ind w:start="360"/>
        <w:spacing w:before="300" w:after="300"/>
      </w:pPr>
      <w:r>
        <w:rPr>
          <w:b/>
        </w:rPr>
        <w:t xml:space="preserve">SERVICES FOR PERSONS WITH INTELLECTUAL DISABILITIES OR AUTISM</w:t>
      </w:r>
    </w:p>
    <w:p>
      <w:pPr>
        <w:jc w:val="center"/>
        <w:ind w:start="360"/>
        <w:spacing w:before="300" w:after="300"/>
      </w:pPr>
      <w:r>
        <w:rPr>
          <w:b/>
        </w:rPr>
        <w:t>ARTICLE</w:t>
        <w:t xml:space="preserve"> </w:t>
        <w:t>1</w:t>
      </w:r>
    </w:p>
    <w:p>
      <w:pPr>
        <w:jc w:val="center"/>
        <w:ind w:start="360"/>
        <w:spacing w:before="300" w:after="300"/>
      </w:pPr>
      <w:r>
        <w:rPr>
          <w:b/>
        </w:rPr>
        <w:t xml:space="preserve">STATE-OPERATED FACILITIES FOR MENTALLY RETARDED PERSONS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jc w:val="center"/>
        <w:ind w:start="360"/>
        <w:spacing w:before="300" w:after="300"/>
      </w:pPr>
      <w:r>
        <w:rPr>
          <w:b/>
        </w:rPr>
        <w:t>ARTICLE</w:t>
        <w:t xml:space="preserve"> </w:t>
        <w:t>2</w:t>
      </w:r>
    </w:p>
    <w:p>
      <w:pPr>
        <w:jc w:val="center"/>
        <w:ind w:start="360"/>
        <w:spacing w:before="300" w:after="300"/>
      </w:pPr>
      <w:r>
        <w:rPr>
          <w:b/>
        </w:rPr>
        <w:t xml:space="preserve">COMMUNITY-BASED SERVICES</w:t>
      </w:r>
    </w:p>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jc w:val="center"/>
        <w:ind w:start="360"/>
        <w:spacing w:before="300" w:after="300"/>
      </w:pPr>
      <w:r>
        <w:rPr>
          <w:b/>
        </w:rPr>
        <w:t>ARTICLE</w:t>
        <w:t xml:space="preserve"> </w:t>
        <w:t>3</w:t>
      </w:r>
    </w:p>
    <w:p>
      <w:pPr>
        <w:jc w:val="center"/>
        <w:ind w:start="360"/>
        <w:spacing w:before="300" w:after="300"/>
      </w:pPr>
      <w:r>
        <w:rPr>
          <w:b/>
        </w:rPr>
        <w:t xml:space="preserve">PROCEDURES</w:t>
      </w:r>
    </w:p>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jc w:val="center"/>
        <w:ind w:start="360"/>
        <w:spacing w:before="300" w:after="300"/>
      </w:pPr>
      <w:r>
        <w:rPr>
          <w:b/>
        </w:rPr>
        <w:t>SUBCHAPTER</w:t>
        <w:t xml:space="preserve"> </w:t>
        <w:t>4</w:t>
      </w:r>
    </w:p>
    <w:p>
      <w:pPr>
        <w:jc w:val="center"/>
        <w:ind w:start="360"/>
        <w:spacing w:before="300" w:after="300"/>
      </w:pPr>
      <w:r>
        <w:rPr>
          <w:b/>
        </w:rPr>
        <w:t xml:space="preserve">RIGHTS OF PERSONS WITH INTELLECTUAL DISABILITIES, AUTISM OR ACQUIRED BRAIN INJURY</w:t>
      </w:r>
    </w:p>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INTELLECTUAL DISABILITIES AND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INTELLECTUAL DISABILITIES AND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5. INTELLECTUAL DISABILITIES AND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