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1233</w:t>
        <w:t xml:space="preserve">.  </w:t>
      </w:r>
      <w:r>
        <w:rPr>
          <w:b/>
        </w:rPr>
        <w:t xml:space="preserve">Special fund in the State Treasury</w:t>
      </w:r>
    </w:p>
    <w:p>
      <w:pPr>
        <w:jc w:val="both"/>
        <w:spacing w:before="100" w:after="100"/>
        <w:ind w:start="360"/>
        <w:ind w:firstLine="360"/>
      </w:pPr>
      <w:r>
        <w:rPr/>
      </w:r>
      <w:r>
        <w:rPr/>
      </w:r>
      <w:r>
        <w:t xml:space="preserve">The fund for the developmentally disabled is created as a special fund in the State Treasury.  The director may accept money from any source for deposit into the fund.  The money in the fund shall be used by the department, subject to an allocation for the purpose of providing for the care and treatment of low-income developmentally disabled persons, or low-income persons otherwise eligible for department services, as defined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1987, c. 176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§1233. Special fund in the State Treasury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§1233. Special fund in the State Treasury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§1233. SPECIAL FUND IN THE STATE TREASURY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