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state institutions may promulgate and enforce rules, subject to the approval of the commissioner, governing the use of public ways and parking areas maintained by the State at the state institutions.</w:t>
      </w:r>
    </w:p>
    <w:p>
      <w:pPr>
        <w:jc w:val="both"/>
        <w:spacing w:before="100" w:after="0"/>
        <w:ind w:start="720"/>
      </w:pPr>
      <w:r>
        <w:rPr/>
        <w:t>A</w:t>
        <w:t xml:space="preserve">.  </w:t>
      </w:r>
      <w:r>
        <w:rPr/>
      </w:r>
      <w:r>
        <w:t xml:space="preserve">The rules shall be promulgated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Secretary of State shall forward a copy of the rules, attested under the Great Seal of the State,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state institutions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State Police, sheriffs, deputy sheriffs, police officers and constables who have jurisdiction over the areas in which the institutions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§164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institutions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Prohibited acts; fine.</w:t>
        <w:t xml:space="preserve"> </w:t>
      </w:r>
      <w:r>
        <w:t xml:space="preserve"> </w:t>
      </w:r>
      <w:r>
        <w:t xml:space="preserve">A person who violates any rule adopted under this section commits a civil violation for which a fine may be adjudged in an amount consistent with the amount charged for a similar violation by the municipality in which the institution is located, but not to exceed the maximum amount provided for a traffic infraction under </w:t>
      </w:r>
      <w:r>
        <w:t>Title 29‑A, section 103</w:t>
      </w:r>
      <w:r>
        <w:t xml:space="preserve">.  Notwithstanding any other law, the fines and costs of court paid under this section inure to the municipality in which the proceedings take place.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785, §B164 (AMD). PL 1991, c. 313 (AMD). PL 1995, c. 65, §A136 (AMD). PL 1995, c. 65, §§A153,C15 (AFF). PL 2013, c. 381,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Public ways and parking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Public ways and parking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§1411. PUBLIC WAYS AND PARKING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