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1806</w:t>
        <w:t xml:space="preserve">.  </w:t>
      </w:r>
      <w:r>
        <w:rPr>
          <w:b/>
        </w:rPr>
        <w:t xml:space="preserve">Authority to provide family support services</w:t>
      </w:r>
    </w:p>
    <w:p>
      <w:pPr>
        <w:jc w:val="both"/>
        <w:spacing w:before="100" w:after="100"/>
        <w:ind w:start="360"/>
        <w:ind w:firstLine="360"/>
      </w:pPr>
      <w:r>
        <w:rPr/>
      </w:r>
      <w:r>
        <w:rPr/>
      </w:r>
      <w:r>
        <w:t xml:space="preserve">The commissioner may provide family support services directly from the department or through agreements with community agencies.  Agreements with community agencies must be in accordance with </w:t>
      </w:r>
      <w:r>
        <w:t>section 1208, subsections 2</w:t>
      </w:r>
      <w:r>
        <w:t xml:space="preserve"> and </w:t>
      </w:r>
      <w:r>
        <w:t>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316,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§1806. Authority to provide family support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§1806. Authority to provide family support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§1806. AUTHORITY TO PROVIDE FAMILY SUPPORT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