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YOUTH COMMUNITY ACTIVITIES SECTION</w:t>
      </w:r>
    </w:p>
    <w:p>
      <w:pPr>
        <w:jc w:val="both"/>
        <w:spacing w:before="100" w:after="100"/>
        <w:ind w:start="1080" w:hanging="720"/>
      </w:pPr>
      <w:r>
        <w:rPr>
          <w:b/>
        </w:rPr>
        <w:t>§</w:t>
        <w:t>251</w:t>
        <w:t xml:space="preserve">.  </w:t>
      </w:r>
      <w:r>
        <w:rPr>
          <w:b/>
        </w:rPr>
        <w:t xml:space="preserve">Purpose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jc w:val="both"/>
        <w:spacing w:before="100" w:after="100"/>
        <w:ind w:start="1080" w:hanging="720"/>
      </w:pPr>
      <w:r>
        <w:rPr>
          <w:b/>
        </w:rPr>
        <w:t>§</w:t>
        <w:t>252</w:t>
        <w:t xml:space="preserve">.  </w:t>
      </w:r>
      <w:r>
        <w:rPr>
          <w:b/>
        </w:rPr>
        <w:t xml:space="preserve">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1967, c. 544, §§84,85 (AMD). PL 1973, c. 699 (RP). </w:t>
      </w:r>
    </w:p>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YOUTH COMMUNITY ACTIVITIES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11. YOUTH COMMUNITY ACTIVITIES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