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RATES OF PUBLIC UTILITIES</w:t>
      </w:r>
    </w:p>
    <w:p>
      <w:pPr>
        <w:jc w:val="both"/>
        <w:spacing w:before="100" w:after="100"/>
        <w:ind w:start="1080" w:hanging="720"/>
      </w:pPr>
      <w:r>
        <w:rPr>
          <w:b/>
        </w:rPr>
        <w:t>§</w:t>
        <w:t>301</w:t>
        <w:t xml:space="preserve">.  </w:t>
      </w:r>
      <w:r>
        <w:rPr>
          <w:b/>
        </w:rPr>
        <w:t xml:space="preserve">Safe facilities; just and reasonable rates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  Nothing in this paragraph prohibits a consumer-owned water utility, a consumer-owned transmission and distribution utility or the Casco Bay Island Transit District, created by Private and Special Law 1981, chapter 22, from undertaking expenditures related to notifying the public of or conducting trustee elections or local referendum elections directly related to or legally required for the operation of a consumer-owned water utility, consumer-owned transmission and distribution utility or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2023, c. 596, §1 (AMD).]</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This paragraph does not apply to a consumer-owned water utility, a consumer-owned transmission and distribution utility or the Casco Bay Island Transit District, created by Private and Special Law 1981, chapter 22; and</w:t>
      </w:r>
      <w:r>
        <w:t xml:space="preserve">  </w:t>
      </w:r>
      <w:r xmlns:wp="http://schemas.openxmlformats.org/drawingml/2010/wordprocessingDrawing" xmlns:w15="http://schemas.microsoft.com/office/word/2012/wordml">
        <w:rPr>
          <w:rFonts w:ascii="Arial" w:hAnsi="Arial" w:cs="Arial"/>
          <w:sz w:val="22"/>
          <w:szCs w:val="22"/>
        </w:rPr>
        <w:t xml:space="preserve">[PL 2023, c. 596, §2 (AMD).]</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596, §§1, 2 (AMD).]</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PL 2023, c. 596, §§1, 2 (AMD). </w:t>
      </w:r>
    </w:p>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chapter 35,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RR 2023, c. 2, Pt. A, §54 (COR). </w:t>
      </w:r>
    </w:p>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 RATES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