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Information related to violation of state law; confidentiality</w:t>
      </w:r>
    </w:p>
    <w:p>
      <w:pPr>
        <w:jc w:val="both"/>
        <w:spacing w:before="100" w:after="100"/>
        <w:ind w:start="360"/>
        <w:ind w:firstLine="360"/>
      </w:pPr>
      <w:r>
        <w:rPr/>
      </w:r>
      <w:r>
        <w:rPr/>
      </w:r>
      <w:r>
        <w:t xml:space="preserve">Subject to the requirements of </w:t>
      </w:r>
      <w:r>
        <w:t>Title 5, section 9055</w:t>
      </w:r>
      <w:r>
        <w:t xml:space="preserve"> regarding ex parte communications but notwithstanding any other provision of law, the commission may declare and treat as confidential communications from any person concerning the affairs of a utility that are reasonably related to a violation of state laws.</w:t>
      </w:r>
      <w:r>
        <w:t xml:space="preserve">  </w:t>
      </w:r>
      <w:r xmlns:wp="http://schemas.openxmlformats.org/drawingml/2010/wordprocessingDrawing" xmlns:w15="http://schemas.microsoft.com/office/word/2012/wordml">
        <w:rPr>
          <w:rFonts w:ascii="Arial" w:hAnsi="Arial" w:cs="Arial"/>
          <w:sz w:val="22"/>
          <w:szCs w:val="22"/>
        </w:rPr>
        <w:t xml:space="preserve">[PL 1993, c. 165,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§1316-A. Information related to violation of state law;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Information related to violation of state law;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§1316-A. INFORMATION RELATED TO VIOLATION OF STATE LAW;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