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1321</w:t>
        <w:t xml:space="preserve">.  </w:t>
      </w:r>
      <w:r>
        <w:rPr>
          <w:b/>
        </w:rPr>
        <w:t xml:space="preserve">Orders altered or amended</w:t>
      </w:r>
    </w:p>
    <w:p>
      <w:pPr>
        <w:jc w:val="both"/>
        <w:spacing w:before="100" w:after="100"/>
        <w:ind w:start="360"/>
        <w:ind w:firstLine="360"/>
      </w:pPr>
      <w:r>
        <w:rPr/>
      </w:r>
      <w:r>
        <w:rPr/>
      </w:r>
      <w:r>
        <w:t xml:space="preserve">The commission may at any time rescind, alter or amend any order it has made including an order fixing any rate or rates, tolls, charges or schedules of a public utility or an order relating to matters within the jurisdiction of the commission with respect to a competitive electricity provider only if it gives the public utility or competitive electricity provider and all parties to the original proceeding, to the extent practical, written notice and after opportunity for those parties to present evidence or argument, as determined appropriate by the commission.  Certified copies of amended orders must be served and take effect as provided for original orders.  Nothing in this section is intended to grant to the commission authority to establish or approve the rates charged by competitive electricity providers.</w:t>
      </w:r>
      <w:r>
        <w:t xml:space="preserve">  </w:t>
      </w:r>
      <w:r xmlns:wp="http://schemas.openxmlformats.org/drawingml/2010/wordprocessingDrawing" xmlns:w15="http://schemas.microsoft.com/office/word/2012/wordml">
        <w:rPr>
          <w:rFonts w:ascii="Arial" w:hAnsi="Arial" w:cs="Arial"/>
          <w:sz w:val="22"/>
          <w:szCs w:val="22"/>
        </w:rPr>
        <w:t xml:space="preserve">[PL 2021, c. 659,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1995, c. 226, §4 (AMD). PL 1999, c. 398, §A22 (AMD). PL 1999, c. 398, §§A104,105 (AFF). PL 2021, c. 659,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§1321. Orders altered or amended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§1321. Orders altered or amended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§1321. ORDERS ALTERED OR AMENDED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