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1703</w:t>
        <w:t xml:space="preserve">.  </w:t>
      </w:r>
      <w:r>
        <w:rPr>
          <w:b/>
        </w:rPr>
        <w:t xml:space="preserve">Appeal from commission orders</w:t>
      </w:r>
    </w:p>
    <w:p>
      <w:pPr>
        <w:jc w:val="both"/>
        <w:spacing w:before="100" w:after="100"/>
        <w:ind w:start="360"/>
        <w:ind w:firstLine="360"/>
      </w:pPr>
      <w:r>
        <w:rPr/>
      </w:r>
      <w:r>
        <w:rPr/>
      </w:r>
      <w:r>
        <w:t xml:space="preserve">The Public Advocate has the same rights of appeal from commission orders or decisions to which the Public Advocate has been a party as other parties to commission proceedings.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§1703. Appeal from commission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§1703. Appeal from commission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§1703. APPEAL FROM COMMISSION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