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Approval only to Maine corporations</w:t>
      </w:r>
    </w:p>
    <w:p>
      <w:pPr>
        <w:jc w:val="both"/>
        <w:spacing w:before="100" w:after="100"/>
        <w:ind w:start="360"/>
        <w:ind w:firstLine="360"/>
      </w:pPr>
      <w:r>
        <w:rPr/>
      </w:r>
      <w:r>
        <w:rPr/>
      </w:r>
      <w:r>
        <w:t xml:space="preserve">No approval required in </w:t>
      </w:r>
      <w:r>
        <w:t>section 2102</w:t>
      </w:r>
      <w:r>
        <w:t xml:space="preserve">, </w:t>
      </w:r>
      <w:r>
        <w:t>2103</w:t>
      </w:r>
      <w:r>
        <w:t xml:space="preserve"> or </w:t>
      </w:r>
      <w:r>
        <w:t>2104</w:t>
      </w:r>
      <w:r>
        <w:t xml:space="preserve"> to operate, manage or control a public utility may be granted after October 1, 1975, to a corporation unless it is duly organized under the laws of this State or authorized by those laws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§2107. Approval only to Maine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Approval only to Maine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§2107. APPROVAL ONLY TO MAINE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