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§2524. MUNICIPAL ACCESS TO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