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100"/>
        <w:ind w:start="360"/>
        <w:ind w:firstLine="360"/>
      </w:pPr>
      <w:r>
        <w:rPr>
          <w:b/>
        </w:rPr>
        <w:t>8-C</w:t>
        <w:t xml:space="preserve">.  </w:t>
      </w:r>
      <w:r>
        <w:rPr>
          <w:b/>
        </w:rPr>
        <w:t xml:space="preserve">Employer and employee harmony agreement.</w:t>
        <w:t xml:space="preserve"> </w:t>
      </w:r>
      <w:r>
        <w:t xml:space="preserve"> </w:t>
      </w:r>
      <w:r>
        <w:t xml:space="preserve">"Employer and employee harmony agreement" means an agreement between an employer and one or more labor organizations representing or seeking to represent the employer's employees that includes:</w:t>
      </w:r>
    </w:p>
    <w:p>
      <w:pPr>
        <w:jc w:val="both"/>
        <w:spacing w:before="100" w:after="0"/>
        <w:ind w:start="720"/>
      </w:pPr>
      <w:r>
        <w:rPr/>
        <w:t>A</w:t>
        <w:t xml:space="preserve">.  </w:t>
      </w:r>
      <w:r>
        <w:rPr/>
      </w:r>
      <w:r>
        <w:t xml:space="preserve">A guarantee against strikes, lockouts and similar disruptions;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B</w:t>
        <w:t xml:space="preserve">.  </w:t>
      </w:r>
      <w:r>
        <w:rPr/>
      </w:r>
      <w:r>
        <w:t xml:space="preserve">Mechanisms for labor‑management cooperation on matters of mutual interest and concern, including productivity, quality of work and safety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C</w:t>
        <w:t xml:space="preserve">.  </w:t>
      </w:r>
      <w:r>
        <w:rPr/>
      </w:r>
      <w:r>
        <w:t xml:space="preserve">Mutually binding procedures for resolving labor disputes.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§2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PL 2023, c. 660,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