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Treatment of certain small consumer-owned transmission and distribution utilities</w:t>
      </w:r>
    </w:p>
    <w:p>
      <w:pPr>
        <w:jc w:val="both"/>
        <w:spacing w:before="100" w:after="0"/>
        <w:ind w:start="360"/>
        <w:ind w:firstLine="360"/>
      </w:pPr>
      <w:r>
        <w:rPr>
          <w:b/>
        </w:rPr>
        <w:t>1</w:t>
        <w:t xml:space="preserve">.  </w:t>
      </w:r>
      <w:r>
        <w:rPr>
          <w:b/>
        </w:rPr>
        <w:t xml:space="preserve">Exemption.</w:t>
        <w:t xml:space="preserve"> </w:t>
      </w:r>
      <w:r>
        <w:t xml:space="preserve"> </w:t>
      </w:r>
      <w:r>
        <w:t xml:space="preserve">Upon request of a consumer-owned transmission and distribution utility of not more than 150 customers, the commission may exempt the utility from any of the requirements of any commission rules and this Title, with the exception of </w:t>
      </w:r>
      <w:r>
        <w:t>sections 3502</w:t>
      </w:r>
      <w:r>
        <w:t xml:space="preserve"> and </w:t>
      </w:r>
      <w:r>
        <w:t>3503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w:pPr>
        <w:jc w:val="both"/>
        <w:spacing w:before="100" w:after="0"/>
        <w:ind w:start="360"/>
        <w:ind w:firstLine="360"/>
      </w:pPr>
      <w:r>
        <w:rPr>
          <w:b/>
        </w:rPr>
        <w:t>2</w:t>
        <w:t xml:space="preserve">.  </w:t>
      </w:r>
      <w:r>
        <w:rPr>
          <w:b/>
        </w:rPr>
        <w:t xml:space="preserve">Rule-making considerations.</w:t>
        <w:t xml:space="preserve"> </w:t>
      </w:r>
      <w:r>
        <w:t xml:space="preserve"> </w:t>
      </w:r>
      <w:r>
        <w:t xml:space="preserve">The commission shall take into account the form of governance of consumer-owned transmission and distribution utilities when promulgating rules and shall state in any notice of proposed rulemaking relating to those utilities what consideration has been given to the ability of those utilities to regulate matters covered under their own authority and, in promulgating those rules, may not impose unreasonable requirements on consumer-owned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101 (RPR). PL 1999, c. 398, §A88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Treatment of certain small consumer-owned transmission and distribution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Treatment of certain small consumer-owned transmission and distribution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§3504. TREATMENT OF CERTAIN SMALL CONSUMER-OWNED TRANSMISSION AND DISTRIBUTION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