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§4357. Procedure, liability and penalties incorporated by reference;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Procedure, liability and penalties incorporated by reference;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§4357. PROCEDURE, LIABILITY AND PENALTIES INCORPORATED BY REFERENCE;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