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gas utility that violates any provision of this Title relating to safety of gas facilities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§18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§19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The degree of the gas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C</w:t>
        <w:t xml:space="preserve">.  </w:t>
      </w:r>
      <w:r>
        <w:rPr/>
      </w:r>
      <w:r>
        <w:t xml:space="preserve">The gas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D</w:t>
        <w:t xml:space="preserve">.  </w:t>
      </w:r>
      <w:r>
        <w:rPr/>
      </w:r>
      <w:r>
        <w:t xml:space="preserve">The gas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E</w:t>
        <w:t xml:space="preserve">.  </w:t>
      </w:r>
      <w:r>
        <w:rPr/>
      </w:r>
      <w:r>
        <w:t xml:space="preserve">Any good faith by the gas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F</w:t>
        <w:t xml:space="preserve">.  </w:t>
      </w:r>
      <w:r>
        <w:rPr/>
      </w:r>
      <w:r>
        <w:t xml:space="preserve">The effect on the gas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penalty may be:</w:t>
      </w:r>
    </w:p>
    <w:p>
      <w:pPr>
        <w:jc w:val="both"/>
        <w:spacing w:before="100" w:after="0"/>
        <w:ind w:start="720"/>
      </w:pPr>
      <w:r>
        <w:rPr/>
        <w:t>A</w:t>
        <w:t xml:space="preserve">.  </w:t>
      </w:r>
      <w:r>
        <w:rPr/>
      </w:r>
      <w:r>
        <w:t xml:space="preserve">Deducted from any sums owing by the State to the gas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 PL 2013, c. 495, §2 (AMD). PL 2021, c. 318,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§4705-A.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§4705-A.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