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Forms</w:t>
      </w:r>
    </w:p>
    <w:p>
      <w:pPr>
        <w:jc w:val="both"/>
        <w:spacing w:before="100" w:after="0"/>
        <w:ind w:start="360"/>
        <w:ind w:firstLine="360"/>
      </w:pPr>
      <w:r>
        <w:rPr>
          <w:b/>
        </w:rPr>
        <w:t>1</w:t>
        <w:t xml:space="preserve">.  </w:t>
      </w:r>
      <w:r>
        <w:rPr>
          <w:b/>
        </w:rPr>
        <w:t xml:space="preserve">Forms of books and records.</w:t>
        <w:t xml:space="preserve"> </w:t>
      </w:r>
      <w:r>
        <w:t xml:space="preserve"> </w:t>
      </w:r>
      <w:r>
        <w:t xml:space="preserve">The commission shall prescribe the forms of all books, accounts, papers and records required to be kept.  Every public utility shall keep and render its books, accounts, papers and records accurately and faithfully in the manner and form prescribed by the commission and shall comply with all directions of the commission relating to its books, accounts, papers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Utilities with no property in the State.</w:t>
        <w:t xml:space="preserve"> </w:t>
      </w:r>
      <w:r>
        <w:t xml:space="preserve"> </w:t>
      </w:r>
      <w:r>
        <w:t xml:space="preserve">The requirements of this section do not apply to a public utility having no property located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Blank forms furnished.</w:t>
        <w:t xml:space="preserve"> </w:t>
      </w:r>
      <w:r>
        <w:t xml:space="preserve"> </w:t>
      </w:r>
      <w:r>
        <w:t xml:space="preserve">The commission shall prepare suitable blank forms for carrying out the purposes of this Title and shall, when necessary, furnish them to each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§502.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