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§6412. Standard districts; authorized to receive government aid, borrow money, issue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§6412. STANDARD DISTRICTS; AUTHORIZED TO RECEIVE GOVERNMENT AID, BORROW MONEY, ISSUE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