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360"/>
        <w:ind w:firstLine="360"/>
      </w:pPr>
      <w:r>
        <w:rPr>
          <w:b/>
        </w:rPr>
        <w:t>1</w:t>
        <w:t xml:space="preserve">.  </w:t>
      </w:r>
      <w:r>
        <w:rPr>
          <w:b/>
        </w:rPr>
        <w:t xml:space="preserve">Regional water council.</w:t>
        <w:t xml:space="preserve"> </w:t>
      </w:r>
      <w:r>
        <w:t xml:space="preserve"> </w:t>
      </w:r>
      <w:r>
        <w:t xml:space="preserve">"Regional water council" means a nonprofit corporation established for the benefit of 2 or more water-related entities pursuant to this chapter, where at least one of the organizing members is a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§1 (AMD).]</w:t>
      </w:r>
    </w:p>
    <w:p>
      <w:pPr>
        <w:jc w:val="both"/>
        <w:spacing w:before="100" w:after="0"/>
        <w:ind w:start="360"/>
        <w:ind w:firstLine="360"/>
      </w:pPr>
      <w:r>
        <w:rPr>
          <w:b/>
        </w:rPr>
        <w:t>2</w:t>
        <w:t xml:space="preserve">.  </w:t>
      </w:r>
      <w:r>
        <w:rPr>
          <w:b/>
        </w:rPr>
        <w:t xml:space="preserve">Water-related entity.</w:t>
        <w:t xml:space="preserve"> </w:t>
      </w:r>
      <w:r>
        <w:t xml:space="preserve"> </w:t>
      </w:r>
      <w:r>
        <w:t xml:space="preserve">"Water-related entity" means a water utility or a municipal or quasi-municipal entity owning, controlling, operating or managing sewer, sanitary or storm water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