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Accidents investigated;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 ACCIDENTS INVESTIGATED;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