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9218</w:t>
        <w:t xml:space="preserve">.  </w:t>
      </w:r>
      <w:r>
        <w:rPr>
          <w:b/>
        </w:rPr>
        <w:t xml:space="preserve">Broadband service strategic plan</w:t>
      </w:r>
    </w:p>
    <w:p>
      <w:pPr>
        <w:jc w:val="both"/>
        <w:spacing w:before="100" w:after="0"/>
        <w:ind w:start="360"/>
        <w:ind w:firstLine="360"/>
      </w:pPr>
      <w:r>
        <w:rPr>
          <w:b/>
        </w:rPr>
        <w:t>1</w:t>
        <w:t xml:space="preserve">.  </w:t>
      </w:r>
      <w:r>
        <w:rPr>
          <w:b/>
        </w:rPr>
        <w:t xml:space="preserve">Broadband service strategic plan.</w:t>
        <w:t xml:space="preserve"> </w:t>
      </w:r>
      <w:r>
        <w:t xml:space="preserve"> </w:t>
      </w:r>
      <w:r>
        <w:t xml:space="preserve">The authority shall draft a detailed, triennial strategic plan for broadband service that includes quantifiable measures of performance to carry out the duties in </w:t>
      </w:r>
      <w:r>
        <w:t>section 9204‑A</w:t>
      </w:r>
      <w:r>
        <w:t xml:space="preserve"> and to further the goals and policies in </w:t>
      </w:r>
      <w:r>
        <w:t>section 9202‑A</w:t>
      </w:r>
      <w:r>
        <w:t xml:space="preserve">.  The strategic plan must include, but is not limited to, budget allocations, objectives, targets, measures of performance, implementation strategies, timelines, a definition of "broadband" and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2</w:t>
        <w:t xml:space="preserve">.  </w:t>
      </w:r>
      <w:r>
        <w:rPr>
          <w:b/>
        </w:rPr>
        <w:t xml:space="preserve">Public input.</w:t>
        <w:t xml:space="preserve"> </w:t>
      </w:r>
      <w:r>
        <w:t xml:space="preserve"> </w:t>
      </w:r>
      <w:r>
        <w:t xml:space="preserve">The authority shall post the draft of the triennial strategic plan pursuant to </w:t>
      </w:r>
      <w:r>
        <w:t>subsection 1</w:t>
      </w:r>
      <w:r>
        <w:t xml:space="preserve"> on the authority's publicly accessible website 90 days before the date on which the plan will be voted on and provide opportunity for written comments and a public hearing at least 30 days prior to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3</w:t>
        <w:t xml:space="preserve">.  </w:t>
      </w:r>
      <w:r>
        <w:rPr>
          <w:b/>
        </w:rPr>
        <w:t xml:space="preserve">Approval of triennial strategic plan.</w:t>
        <w:t xml:space="preserve"> </w:t>
      </w:r>
      <w:r>
        <w:t xml:space="preserve"> </w:t>
      </w:r>
      <w:r>
        <w:t xml:space="preserve">The authority shall approve the triennial strategic plan pursuant to </w:t>
      </w:r>
      <w:r>
        <w:t>subsection 1</w:t>
      </w:r>
      <w:r>
        <w:t xml:space="preserve"> by affirmative vote of 2/3 of its members upon a finding that the plan is consistent with the policies, duties and requirements of the authority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§9218. Broadband service strategic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§9218. Broadband service strategic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§9218. BROADBAND SERVICE STRATEGIC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