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465</w:t>
      </w:r>
    </w:p>
    <w:p>
      <w:pPr>
        <w:jc w:val="center"/>
        <w:ind w:start="360"/>
        <w:spacing w:before="300" w:after="300"/>
      </w:pPr>
      <w:r>
        <w:rPr>
          <w:b/>
        </w:rPr>
        <w:t xml:space="preserve">INDEXING OF MOTOR FUEL TAX RATES</w:t>
      </w:r>
    </w:p>
    <w:p>
      <w:pPr>
        <w:jc w:val="both"/>
        <w:spacing w:before="100" w:after="100"/>
        <w:ind w:start="1080" w:hanging="720"/>
      </w:pPr>
      <w:r>
        <w:rPr>
          <w:b/>
        </w:rPr>
        <w:t>§</w:t>
        <w:t>3321</w:t>
        <w:t xml:space="preserve">.  </w:t>
      </w:r>
      <w:r>
        <w:rPr>
          <w:b/>
        </w:rPr>
        <w:t xml:space="preserve">Annual adjustment of tax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688, §8 (NEW). PL 2007, c. 306, §9 (AMD). PL 2007, c. 650, §3 (AMD). PL 2009, c. 413, Pt. W, §§4, 5 (AMD). PL 2009, c. 413, Pt. W, §6 (AFF). PL 2009, c. 434, §§59, 60 (AMD). PL 2009, c. 652, Pt. B, §10 (AMD). PL 2011, c. 392, Pt. C, §1 (AMD). MRSA T. 36 §3321, sub-§5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465. INDEXING OF MOTOR FUEL TAX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465. INDEXING OF MOTOR FUEL TAX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465. INDEXING OF MOTOR FUEL TAX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