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1759</w:t>
        <w:t xml:space="preserve">.  </w:t>
      </w:r>
      <w:r>
        <w:rPr>
          <w:b/>
        </w:rPr>
        <w:t xml:space="preserve">Bonds</w:t>
      </w:r>
    </w:p>
    <w:p>
      <w:pPr>
        <w:jc w:val="both"/>
        <w:spacing w:before="100" w:after="100"/>
        <w:ind w:start="360"/>
        <w:ind w:firstLine="360"/>
      </w:pPr>
      <w:r>
        <w:rPr/>
      </w:r>
      <w:r>
        <w:rPr/>
      </w:r>
      <w:r>
        <w:t xml:space="preserve">Either as a condition for issuance or subsequent to the issuance of a registration certificate under </w:t>
      </w:r>
      <w:r>
        <w:t>section 1754‑B</w:t>
      </w:r>
      <w:r>
        <w:t xml:space="preserve"> or </w:t>
      </w:r>
      <w:r>
        <w:t>1756</w:t>
      </w:r>
      <w:r>
        <w:t xml:space="preserve">, the State Tax Assessor may require from a taxpayer a bond written by a surety company qualified to do business in this State, in an amount and upon conditions to be determined by the assessor. In lieu of a bond the assessor may accept a deposit of money or securities in an amount and of a kind acceptable to the assessor. The deposit must be delivered to the Treasurer of State, who shall safely keep it subject to the instructions of the assessor.</w:t>
      </w:r>
      <w:r>
        <w:t xml:space="preserve">  </w:t>
      </w:r>
      <w:r xmlns:wp="http://schemas.openxmlformats.org/drawingml/2010/wordprocessingDrawing" xmlns:w15="http://schemas.microsoft.com/office/word/2012/wordml">
        <w:rPr>
          <w:rFonts w:ascii="Arial" w:hAnsi="Arial" w:cs="Arial"/>
          <w:sz w:val="22"/>
          <w:szCs w:val="22"/>
        </w:rPr>
        <w:t xml:space="preserve">[PL 2019, c. 401, Pt. B, §14 (AMD); PL 2019, c. 441, §5 (AMD); PL 2019, c. 441, §9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520, §4 (AMD). PL 2007, c. 627, §46 (AMD). PL 2017, c. 375, Pt. H, §1 (AMD). PL 2019, c. 401, Pt. B, §14 (AMD). PL 2019, c. 441, §5 (AMD). PL 2019, c. 441,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§1759. Bonds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§1759. Bonds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§1759. BONDS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