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Supervision and administration</w:t>
      </w:r>
    </w:p>
    <w:p>
      <w:pPr>
        <w:jc w:val="both"/>
        <w:spacing w:before="100" w:after="100"/>
        <w:ind w:start="360"/>
        <w:ind w:firstLine="360"/>
      </w:pPr>
      <w:r>
        <w:rPr/>
      </w:r>
      <w:r>
        <w:rPr/>
      </w:r>
      <w:r>
        <w:t xml:space="preserve">The State Tax Assessor shall have and exercise general supervision over the administration of the assessment and taxation laws of the State, and over local assessors and all other assessing officers in the performance of their duties, to the end that all property shall be assessed at the just value thereof in compliance with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1977, c. 509,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Supervision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 SUPERVISION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