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4101</w:t>
        <w:t xml:space="preserve">.  </w:t>
      </w:r>
      <w:r>
        <w:rPr>
          <w:b/>
        </w:rPr>
        <w:t xml:space="preserve">Applicability of provisions</w:t>
      </w:r>
    </w:p>
    <w:p>
      <w:pPr>
        <w:jc w:val="both"/>
        <w:spacing w:before="100" w:after="100"/>
        <w:ind w:start="360"/>
        <w:ind w:firstLine="360"/>
      </w:pPr>
      <w:r>
        <w:rPr/>
      </w:r>
      <w:r>
        <w:rPr/>
      </w:r>
      <w:r>
        <w:t xml:space="preserve">This chapter applies to the estates of persons who die after December 31, 2012.</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§4101.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§4101.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§4101.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