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§5219-BB. Credit for rehabilitation of historic properties after 2007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§5219-BB. CREDIT FOR REHABILITATION OF HISTORIC PROPERTIES AFTER 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