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Information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§5251. INFORMATION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