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One claim per household</w:t>
      </w:r>
    </w:p>
    <w:p>
      <w:pPr>
        <w:jc w:val="both"/>
        <w:spacing w:before="100" w:after="100"/>
        <w:ind w:start="360"/>
        <w:ind w:firstLine="360"/>
      </w:pPr>
      <w:r>
        <w:rPr/>
      </w:r>
      <w:r>
        <w:rPr/>
      </w:r>
      <w:r>
        <w:t xml:space="preserve">Only one claimant per household or homestead per year shall be entitled to relief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516, §§ 3 and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One claim per household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One claim per household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§6205. ONE CLAIM PER HOUSEHOLD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