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6208</w:t>
        <w:t xml:space="preserve">.  </w:t>
      </w:r>
      <w:r>
        <w:rPr>
          <w:b/>
        </w:rPr>
        <w:t xml:space="preserve">Benefit calculation for elderly households</w:t>
      </w:r>
    </w:p>
    <w:p>
      <w:pPr>
        <w:jc w:val="both"/>
        <w:spacing w:before="100" w:after="100"/>
        <w:ind w:start="360"/>
        <w:ind w:firstLine="360"/>
      </w:pPr>
      <w:r>
        <w:rPr/>
      </w:r>
      <w:r>
        <w:rPr/>
      </w:r>
      <w:r>
        <w:t xml:space="preserve">If a claimant representing an elderly household qualifies for a larger benefit under </w:t>
      </w:r>
      <w:r>
        <w:t>section 6207</w:t>
      </w:r>
      <w:r>
        <w:t xml:space="preserve"> than under </w:t>
      </w:r>
      <w:r>
        <w:t>section 6206</w:t>
      </w:r>
      <w:r>
        <w:t xml:space="preserve">, then that claimant's benefit must be calculated under </w:t>
      </w:r>
      <w:r>
        <w:t>section 6207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240, §41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§§3,6 (NEW). PL 2011, c. 240, §41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§6208. Benefit calculation for elderly households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§6208. Benefit calculation for elderly households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§6208. BENEFIT CALCULATION FOR ELDERLY HOUSEHOLDS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