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§6663. Program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Program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§6663. PROGRAM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