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Exemption of business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Exemption of business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§692. EXEMPTION OF BUSINESS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