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Assessment and commitment</w:t>
      </w:r>
    </w:p>
    <w:p>
      <w:pPr>
        <w:jc w:val="both"/>
        <w:spacing w:before="100" w:after="100"/>
        <w:ind w:start="360"/>
        <w:ind w:firstLine="360"/>
      </w:pPr>
      <w:r>
        <w:rPr/>
      </w:r>
      <w:r>
        <w:rPr/>
      </w:r>
      <w:r>
        <w:t xml:space="preserve">The assessors shall assess upon the estates in their municipality all municipal taxes and their due proportion of any state or county tax payable during the municipal year for which municipal taxes are being raised,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§97 (AMD). PL 1971, c. 46, §1 (AMD). PL 1973, c. 66, §9 (AMD). PL 1975, c. 651,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Assessment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Assessment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 ASSESSMENT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