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w:t>
        <w:t xml:space="preserve">.  </w:t>
      </w:r>
      <w:r>
        <w:rPr>
          <w:b/>
        </w:rPr>
        <w:t xml:space="preserve">Commander in Chief</w:t>
      </w:r>
    </w:p>
    <w:p>
      <w:pPr>
        <w:jc w:val="both"/>
        <w:spacing w:before="100" w:after="100"/>
        <w:ind w:start="360"/>
        <w:ind w:firstLine="360"/>
      </w:pPr>
      <w:r>
        <w:rPr/>
      </w:r>
      <w:r>
        <w:rPr/>
      </w:r>
      <w:r>
        <w:t xml:space="preserve">The Governor  is the constitutional Commander in Chief of the military forces of the State, except for components of the military forces of the State that may, at times, be in the service of the United States.  It is the duty of the Governor as Commander in Chief to prescribe orders, rules and other administrative procedures necessary to maintain the standard of organization and armament for the state military forces required by the laws and regulations of the United States.  Subject to regulations prescribed by the federal military establishment, the Governor shall establish administrative procedures necessary to insure that adequate numbers of officers, warrant officers and enlisted personnel are appointed, commissioned and enlisted into the state military forces.</w:t>
      </w:r>
      <w:r>
        <w:t xml:space="preserve">  </w:t>
      </w:r>
      <w:r xmlns:wp="http://schemas.openxmlformats.org/drawingml/2010/wordprocessingDrawing" xmlns:w15="http://schemas.microsoft.com/office/word/2012/wordml">
        <w:rPr>
          <w:rFonts w:ascii="Arial" w:hAnsi="Arial" w:cs="Arial"/>
          <w:sz w:val="22"/>
          <w:szCs w:val="22"/>
        </w:rPr>
        <w:t xml:space="preserve">[RR 2019, c. 1, Pt. B, §1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RR 2019, c. 1, Pt. B, §1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 Commander in Chief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 Commander in Chief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§103. COMMANDER IN CHIEF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